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0B" w:rsidRPr="00836C79" w:rsidRDefault="0014010B" w:rsidP="0014010B">
      <w:pPr>
        <w:pStyle w:val="Corpodeltesto"/>
        <w:spacing w:line="244" w:lineRule="auto"/>
        <w:ind w:right="27"/>
        <w:jc w:val="both"/>
        <w:rPr>
          <w:b/>
          <w:sz w:val="32"/>
          <w:szCs w:val="32"/>
          <w:u w:val="single"/>
        </w:rPr>
      </w:pPr>
      <w:r w:rsidRPr="00836C79">
        <w:rPr>
          <w:b/>
          <w:sz w:val="32"/>
          <w:szCs w:val="32"/>
          <w:u w:val="single"/>
        </w:rPr>
        <w:t>Allegato B – Analisi del Rischio per il Comune d</w:t>
      </w:r>
    </w:p>
    <w:p w:rsidR="0014010B" w:rsidRPr="00836C79" w:rsidRDefault="0014010B" w:rsidP="0014010B">
      <w:pPr>
        <w:pStyle w:val="Corpodeltesto"/>
        <w:spacing w:line="244" w:lineRule="auto"/>
        <w:ind w:right="27"/>
        <w:jc w:val="both"/>
        <w:rPr>
          <w:sz w:val="24"/>
          <w:szCs w:val="24"/>
        </w:rPr>
      </w:pPr>
    </w:p>
    <w:p w:rsidR="009F001E" w:rsidRPr="00836C79" w:rsidRDefault="009F001E" w:rsidP="009F001E">
      <w:pPr>
        <w:suppressAutoHyphens/>
        <w:spacing w:after="60"/>
        <w:ind w:left="284" w:hanging="284"/>
        <w:rPr>
          <w:rFonts w:eastAsia="Calibri"/>
          <w:b/>
          <w:i/>
          <w:sz w:val="24"/>
          <w:szCs w:val="24"/>
          <w:shd w:val="clear" w:color="auto" w:fill="FFFFFF"/>
        </w:rPr>
      </w:pPr>
      <w:r w:rsidRPr="00836C79">
        <w:rPr>
          <w:rFonts w:eastAsia="Calibri"/>
          <w:b/>
          <w:i/>
          <w:sz w:val="24"/>
          <w:szCs w:val="24"/>
          <w:shd w:val="clear" w:color="auto" w:fill="FFFFFF"/>
        </w:rPr>
        <w:t>Ricognizione delle attività per le quali è più elevato il rischio di corruzione</w:t>
      </w:r>
    </w:p>
    <w:p w:rsidR="009F001E" w:rsidRPr="00836C79" w:rsidRDefault="009F001E" w:rsidP="009F001E">
      <w:pPr>
        <w:suppressAutoHyphens/>
        <w:spacing w:after="60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Dalla disamina delle attività che interessano l’Ente, si evidenzia che il rischio corruttivo risulta più elevato nei seguenti contesti:</w:t>
      </w:r>
    </w:p>
    <w:p w:rsidR="00E65AC0" w:rsidRPr="00836C79" w:rsidRDefault="00E65AC0" w:rsidP="009F001E">
      <w:pPr>
        <w:suppressAutoHyphens/>
        <w:spacing w:after="60"/>
        <w:rPr>
          <w:rFonts w:eastAsia="Calibri"/>
          <w:sz w:val="24"/>
          <w:szCs w:val="24"/>
          <w:shd w:val="clear" w:color="auto" w:fill="FFFFFF"/>
        </w:rPr>
      </w:pPr>
    </w:p>
    <w:p w:rsidR="00E65AC0" w:rsidRPr="00836C79" w:rsidRDefault="00E65AC0" w:rsidP="009F001E">
      <w:pPr>
        <w:suppressAutoHyphens/>
        <w:spacing w:after="60"/>
        <w:rPr>
          <w:rFonts w:eastAsia="Calibri"/>
          <w:b/>
          <w:sz w:val="24"/>
          <w:szCs w:val="24"/>
          <w:shd w:val="clear" w:color="auto" w:fill="FFFFFF"/>
        </w:rPr>
      </w:pPr>
      <w:r w:rsidRPr="00836C79">
        <w:rPr>
          <w:rFonts w:eastAsia="Calibri"/>
          <w:b/>
          <w:sz w:val="24"/>
          <w:szCs w:val="24"/>
          <w:shd w:val="clear" w:color="auto" w:fill="FFFFFF"/>
        </w:rPr>
        <w:t xml:space="preserve">INDIVIDUAZIONE DELLE AREE </w:t>
      </w:r>
      <w:proofErr w:type="spellStart"/>
      <w:r w:rsidRPr="00836C79">
        <w:rPr>
          <w:rFonts w:eastAsia="Calibri"/>
          <w:b/>
          <w:sz w:val="24"/>
          <w:szCs w:val="24"/>
          <w:shd w:val="clear" w:color="auto" w:fill="FFFFFF"/>
        </w:rPr>
        <w:t>DI</w:t>
      </w:r>
      <w:proofErr w:type="spellEnd"/>
      <w:r w:rsidRPr="00836C79">
        <w:rPr>
          <w:rFonts w:eastAsia="Calibri"/>
          <w:b/>
          <w:sz w:val="24"/>
          <w:szCs w:val="24"/>
          <w:shd w:val="clear" w:color="auto" w:fill="FFFFFF"/>
        </w:rPr>
        <w:t xml:space="preserve"> RISCHIO</w:t>
      </w:r>
    </w:p>
    <w:p w:rsidR="009F001E" w:rsidRPr="00836C79" w:rsidRDefault="009F001E" w:rsidP="009F001E">
      <w:pPr>
        <w:suppressAutoHyphens/>
        <w:jc w:val="center"/>
        <w:rPr>
          <w:rFonts w:eastAsia="Calibri"/>
          <w:b/>
          <w:sz w:val="24"/>
          <w:szCs w:val="24"/>
          <w:shd w:val="clear" w:color="auto" w:fill="FFFFFF"/>
        </w:rPr>
      </w:pPr>
    </w:p>
    <w:tbl>
      <w:tblPr>
        <w:tblW w:w="0" w:type="auto"/>
        <w:tblInd w:w="893" w:type="dxa"/>
        <w:tblCellMar>
          <w:left w:w="10" w:type="dxa"/>
          <w:right w:w="10" w:type="dxa"/>
        </w:tblCellMar>
        <w:tblLook w:val="0000"/>
      </w:tblPr>
      <w:tblGrid>
        <w:gridCol w:w="491"/>
        <w:gridCol w:w="8278"/>
      </w:tblGrid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sz w:val="24"/>
                <w:szCs w:val="24"/>
                <w:shd w:val="clear" w:color="auto" w:fill="FFFFFF"/>
              </w:rPr>
              <w:t>N. Area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sz w:val="24"/>
                <w:szCs w:val="24"/>
                <w:shd w:val="clear" w:color="auto" w:fill="FFFFFF"/>
              </w:rPr>
              <w:t>Descrizione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Erogazione sovvenzioni, contributi e sussidi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Autorizzazioni/concessioni/permessi/titoli </w:t>
            </w:r>
            <w:proofErr w:type="spellStart"/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autorizzatori</w:t>
            </w:r>
            <w:proofErr w:type="spellEnd"/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 comunque denominati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Attività di controllo  e sanzionatoria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Procedure di scelta dei contraenti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Esecuzione dei contratti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Procedure di affidamento di incarichi e collaborazioni 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Procedure di selezione e valutazione del personale sia interno che esterno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Registrazioni e rilascio certificazioni</w:t>
            </w:r>
          </w:p>
        </w:tc>
      </w:tr>
      <w:tr w:rsidR="009F001E" w:rsidRPr="00836C79" w:rsidTr="009F001E">
        <w:trPr>
          <w:trHeight w:val="1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Atti di pianificazione e regolazione</w:t>
            </w:r>
          </w:p>
        </w:tc>
      </w:tr>
      <w:tr w:rsidR="009F001E" w:rsidRPr="00836C79" w:rsidTr="009F001E">
        <w:trPr>
          <w:trHeight w:val="70"/>
        </w:trPr>
        <w:tc>
          <w:tcPr>
            <w:tcW w:w="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12" w:type="dxa"/>
              <w:right w:w="12" w:type="dxa"/>
            </w:tcMar>
          </w:tcPr>
          <w:p w:rsidR="009F001E" w:rsidRPr="00836C79" w:rsidRDefault="009F001E" w:rsidP="005F2BFA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36C79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Possesso dei requisiti soggettivi da parte dei componenti degli organi di governo e di gestione</w:t>
            </w:r>
          </w:p>
        </w:tc>
      </w:tr>
    </w:tbl>
    <w:p w:rsidR="009F001E" w:rsidRPr="00836C79" w:rsidRDefault="009F001E" w:rsidP="009F001E">
      <w:pPr>
        <w:suppressAutoHyphens/>
        <w:rPr>
          <w:rFonts w:eastAsia="Calibri"/>
          <w:sz w:val="24"/>
          <w:szCs w:val="24"/>
          <w:shd w:val="clear" w:color="auto" w:fill="FFFFFF"/>
        </w:rPr>
      </w:pPr>
    </w:p>
    <w:p w:rsidR="009F001E" w:rsidRPr="00836C79" w:rsidRDefault="009F001E" w:rsidP="009F001E">
      <w:pPr>
        <w:suppressAutoHyphens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 xml:space="preserve">Inoltre, </w:t>
      </w:r>
      <w:r w:rsidR="00836C79" w:rsidRPr="00836C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36C79">
        <w:rPr>
          <w:rFonts w:eastAsia="Calibri"/>
          <w:sz w:val="24"/>
          <w:szCs w:val="24"/>
          <w:shd w:val="clear" w:color="auto" w:fill="FFFFFF"/>
        </w:rPr>
        <w:t xml:space="preserve">lo studio sulla realtà dell’Ente ha permesso di individuare anche i seguenti n. 10 rischi potenziali sui quali occorre prestare una specifica attenzione:  </w:t>
      </w:r>
    </w:p>
    <w:p w:rsidR="00E65AC0" w:rsidRPr="00836C79" w:rsidRDefault="00E65AC0" w:rsidP="009F001E">
      <w:pPr>
        <w:suppressAutoHyphens/>
        <w:jc w:val="both"/>
        <w:rPr>
          <w:rFonts w:eastAsia="Calibri"/>
          <w:sz w:val="24"/>
          <w:szCs w:val="24"/>
          <w:shd w:val="clear" w:color="auto" w:fill="FFFFFF"/>
        </w:rPr>
      </w:pP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1. Negligenza od omissione nella verifica dei presupposti e requisiti per l’adozione di atti o provvedimenti;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2. Motivazione generica e tautologica in ordine alla sussistenza dei presupposti di legge per l’adozione di scelte discrezionali;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3. Uso distorto e manipolato della discrezionalità, anche con riferimento a scelta di tipologie procedimentali al fine di condizionare o favorire determinati risultati;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4. Eliminazione di ogni possibile uso distorto o rischio di personalizzazione in tema di selezione di concorrenti, partecipanti, dipendenti o collaboratori;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5. Omissione dei controlli di merito o a campione ed esigenza di procedere ad una diversa determinazione degli stessi;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6. Potenziale uso distorto od illegittimo dei procedimenti proroga – rinnovo – revoca – variante;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7. Quantificazione errata degli oneri economici o prestazionali a carico dei privati o delle somme dovute dall'Amministrazione;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8. Alterazione e manipolazione di dati, informazioni e documenti od uso distorto degli stessi;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9. Mancata e ingiustificata applicazione di multe o penalità o mancata segnalazione di eventi collusivi, rilevanti a fini di quanto sopra;</w:t>
      </w:r>
    </w:p>
    <w:p w:rsidR="009F001E" w:rsidRPr="00836C79" w:rsidRDefault="009F001E" w:rsidP="009F001E">
      <w:pPr>
        <w:suppressAutoHyphens/>
        <w:ind w:left="709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 xml:space="preserve">10. Mancata rilevazione di situazioni di </w:t>
      </w:r>
      <w:proofErr w:type="spellStart"/>
      <w:r w:rsidRPr="00836C79">
        <w:rPr>
          <w:rFonts w:eastAsia="Calibri"/>
          <w:sz w:val="24"/>
          <w:szCs w:val="24"/>
          <w:shd w:val="clear" w:color="auto" w:fill="FFFFFF"/>
        </w:rPr>
        <w:t>incandidabilità</w:t>
      </w:r>
      <w:proofErr w:type="spellEnd"/>
      <w:r w:rsidRPr="00836C79">
        <w:rPr>
          <w:rFonts w:eastAsia="Calibri"/>
          <w:sz w:val="24"/>
          <w:szCs w:val="24"/>
          <w:shd w:val="clear" w:color="auto" w:fill="FFFFFF"/>
        </w:rPr>
        <w:t xml:space="preserve">, di ineleggibilità, di incompatibilità per gli organi di governo e di </w:t>
      </w:r>
      <w:proofErr w:type="spellStart"/>
      <w:r w:rsidRPr="00836C79">
        <w:rPr>
          <w:rFonts w:eastAsia="Calibri"/>
          <w:sz w:val="24"/>
          <w:szCs w:val="24"/>
          <w:shd w:val="clear" w:color="auto" w:fill="FFFFFF"/>
        </w:rPr>
        <w:t>inconferibilità</w:t>
      </w:r>
      <w:proofErr w:type="spellEnd"/>
      <w:r w:rsidRPr="00836C79">
        <w:rPr>
          <w:rFonts w:eastAsia="Calibri"/>
          <w:sz w:val="24"/>
          <w:szCs w:val="24"/>
          <w:shd w:val="clear" w:color="auto" w:fill="FFFFFF"/>
        </w:rPr>
        <w:t xml:space="preserve"> e di incompatibilità per gli organi di gestione, anche societari;</w:t>
      </w:r>
    </w:p>
    <w:p w:rsidR="009F001E" w:rsidRPr="00836C79" w:rsidRDefault="009F001E" w:rsidP="009F001E">
      <w:pPr>
        <w:suppressAutoHyphens/>
        <w:spacing w:after="60"/>
        <w:jc w:val="both"/>
        <w:rPr>
          <w:rFonts w:eastAsia="Calibri"/>
          <w:b/>
          <w:i/>
          <w:sz w:val="24"/>
          <w:szCs w:val="24"/>
          <w:shd w:val="clear" w:color="auto" w:fill="FFFFFF"/>
        </w:rPr>
      </w:pPr>
    </w:p>
    <w:p w:rsidR="009F001E" w:rsidRPr="00836C79" w:rsidRDefault="009F001E" w:rsidP="009F001E">
      <w:pPr>
        <w:suppressAutoHyphens/>
        <w:spacing w:after="60"/>
        <w:jc w:val="both"/>
        <w:rPr>
          <w:rFonts w:eastAsia="Liberation Serif"/>
          <w:sz w:val="24"/>
          <w:szCs w:val="24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 xml:space="preserve">La valutazione delle contromisure è stata condotta analiticamente su ciascuno dei rischi specifici: a riguardo si rileva che nell’ottica  di un Piano di Prevenzione della Corruzione  dinamico  ed all’insegna del miglioramento continuo, la mappatura delle aree a rischio, la valutazione dei rischi connessi e le conseguenti azioni operative preventive della corruzione sarà oggetto di aggiornamento periodico in sede di Conferenza dei Dirigenti. </w:t>
      </w:r>
    </w:p>
    <w:p w:rsidR="009F001E" w:rsidRPr="00836C79" w:rsidRDefault="009F001E" w:rsidP="009F001E">
      <w:p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A tal scopo si forniscono alcune indicazioni sul concetto e definizione di “rischio” e sulla sua  conseguente valutazione:</w:t>
      </w:r>
    </w:p>
    <w:p w:rsidR="009F001E" w:rsidRPr="00836C79" w:rsidRDefault="009F001E" w:rsidP="00E65AC0">
      <w:pPr>
        <w:pStyle w:val="Paragrafoelenco"/>
        <w:numPr>
          <w:ilvl w:val="0"/>
          <w:numId w:val="9"/>
        </w:num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Il rischio costituisce la capacità potenziale, di un’azione e/o di un comportamento, di creare conseguenze illegali a danno della Pubblica Amministrazione.</w:t>
      </w:r>
    </w:p>
    <w:p w:rsidR="009F001E" w:rsidRPr="00836C79" w:rsidRDefault="009F001E" w:rsidP="00E65AC0">
      <w:pPr>
        <w:pStyle w:val="Paragrafoelenco"/>
        <w:numPr>
          <w:ilvl w:val="0"/>
          <w:numId w:val="9"/>
        </w:num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Il rischio richiede un’attenzione dedicata quale fattispecie da scongiurare, in termini assoluti, a tutela dell’integrità delle azioni e delle condotte amministrative.</w:t>
      </w:r>
    </w:p>
    <w:p w:rsidR="009F001E" w:rsidRPr="00836C79" w:rsidRDefault="009F001E" w:rsidP="00E65AC0">
      <w:p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 xml:space="preserve">La Gestione del Rischio, a tutti i livelli, deve essere: </w:t>
      </w:r>
      <w:r w:rsidR="00E65AC0" w:rsidRPr="00836C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36C79">
        <w:rPr>
          <w:rFonts w:eastAsia="Calibri"/>
          <w:sz w:val="24"/>
          <w:szCs w:val="24"/>
          <w:shd w:val="clear" w:color="auto" w:fill="FFFFFF"/>
        </w:rPr>
        <w:t>efficace;</w:t>
      </w:r>
      <w:r w:rsidR="00E65AC0" w:rsidRPr="00836C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36C79">
        <w:rPr>
          <w:rFonts w:eastAsia="Calibri"/>
          <w:sz w:val="24"/>
          <w:szCs w:val="24"/>
          <w:shd w:val="clear" w:color="auto" w:fill="FFFFFF"/>
        </w:rPr>
        <w:t>sistematica;</w:t>
      </w:r>
      <w:r w:rsidR="00E65AC0" w:rsidRPr="00836C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36C79">
        <w:rPr>
          <w:rFonts w:eastAsia="Calibri"/>
          <w:sz w:val="24"/>
          <w:szCs w:val="24"/>
          <w:shd w:val="clear" w:color="auto" w:fill="FFFFFF"/>
        </w:rPr>
        <w:t>strutturata;</w:t>
      </w:r>
      <w:r w:rsidR="00E65AC0" w:rsidRPr="00836C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36C79">
        <w:rPr>
          <w:rFonts w:eastAsia="Calibri"/>
          <w:sz w:val="24"/>
          <w:szCs w:val="24"/>
          <w:shd w:val="clear" w:color="auto" w:fill="FFFFFF"/>
        </w:rPr>
        <w:t>tempestiva;</w:t>
      </w:r>
      <w:r w:rsidR="00E65AC0" w:rsidRPr="00836C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36C79">
        <w:rPr>
          <w:rFonts w:eastAsia="Calibri"/>
          <w:sz w:val="24"/>
          <w:szCs w:val="24"/>
          <w:shd w:val="clear" w:color="auto" w:fill="FFFFFF"/>
        </w:rPr>
        <w:t>dinamica;</w:t>
      </w:r>
      <w:r w:rsidR="00E65AC0" w:rsidRPr="00836C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36C79">
        <w:rPr>
          <w:rFonts w:eastAsia="Calibri"/>
          <w:sz w:val="24"/>
          <w:szCs w:val="24"/>
          <w:shd w:val="clear" w:color="auto" w:fill="FFFFFF"/>
        </w:rPr>
        <w:t>trasparente.</w:t>
      </w:r>
    </w:p>
    <w:p w:rsidR="009F001E" w:rsidRPr="00836C79" w:rsidRDefault="009F001E" w:rsidP="009F001E">
      <w:p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 xml:space="preserve">L’indice di valutazione del rischio è riferita al grado di esposizione alla corruzione, e può essere calcolato secondo i criteri  e modalità  di cui all’allegato 5 della Delibera ANAC (ex </w:t>
      </w:r>
      <w:proofErr w:type="spellStart"/>
      <w:r w:rsidRPr="00836C79">
        <w:rPr>
          <w:rFonts w:eastAsia="Calibri"/>
          <w:sz w:val="24"/>
          <w:szCs w:val="24"/>
          <w:shd w:val="clear" w:color="auto" w:fill="FFFFFF"/>
        </w:rPr>
        <w:t>Civit</w:t>
      </w:r>
      <w:proofErr w:type="spellEnd"/>
      <w:r w:rsidRPr="00836C79">
        <w:rPr>
          <w:rFonts w:eastAsia="Calibri"/>
          <w:sz w:val="24"/>
          <w:szCs w:val="24"/>
          <w:shd w:val="clear" w:color="auto" w:fill="FFFFFF"/>
        </w:rPr>
        <w:t>) n. 72/2013 con cui è stato approvato il Piano Nazionale Anticorruzione ed allegati, cui in ogni caso si fa riferimento per le azioni nella prevenzione alla corruzione.</w:t>
      </w:r>
    </w:p>
    <w:p w:rsidR="009F001E" w:rsidRPr="00836C79" w:rsidRDefault="009F001E" w:rsidP="009F001E">
      <w:p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La valutazione del rischio è effettuata su principali  attività e procedimenti relativi alle materie a rischio di corruzione: sia per quelle previste dalla legge che per quelle previste nel Piano e determina.</w:t>
      </w:r>
    </w:p>
    <w:p w:rsidR="00E65AC0" w:rsidRPr="00836C79" w:rsidRDefault="00E65AC0" w:rsidP="009F001E">
      <w:p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</w:p>
    <w:p w:rsidR="00E65AC0" w:rsidRDefault="00E65AC0" w:rsidP="009F001E">
      <w:pPr>
        <w:suppressAutoHyphens/>
        <w:spacing w:after="60"/>
        <w:jc w:val="both"/>
        <w:rPr>
          <w:rFonts w:eastAsia="Calibri"/>
          <w:b/>
          <w:sz w:val="24"/>
          <w:szCs w:val="24"/>
          <w:shd w:val="clear" w:color="auto" w:fill="FFFFFF"/>
        </w:rPr>
      </w:pPr>
      <w:r w:rsidRPr="00D246C1">
        <w:rPr>
          <w:rFonts w:eastAsia="Calibri"/>
          <w:b/>
          <w:sz w:val="24"/>
          <w:szCs w:val="24"/>
          <w:shd w:val="clear" w:color="auto" w:fill="FFFFFF"/>
        </w:rPr>
        <w:t>ANALISI DEL RISCHIO</w:t>
      </w:r>
      <w:r w:rsidR="00D246C1" w:rsidRPr="00D246C1">
        <w:rPr>
          <w:rFonts w:eastAsia="Calibri"/>
          <w:b/>
          <w:sz w:val="24"/>
          <w:szCs w:val="24"/>
          <w:shd w:val="clear" w:color="auto" w:fill="FFFFFF"/>
        </w:rPr>
        <w:t xml:space="preserve"> E CONSEGUENTE PONDERAZIONE</w:t>
      </w:r>
    </w:p>
    <w:p w:rsidR="00D246C1" w:rsidRPr="00D246C1" w:rsidRDefault="00D246C1" w:rsidP="009F001E">
      <w:pPr>
        <w:suppressAutoHyphens/>
        <w:spacing w:after="60"/>
        <w:jc w:val="both"/>
        <w:rPr>
          <w:rFonts w:eastAsia="Calibri"/>
          <w:b/>
          <w:sz w:val="24"/>
          <w:szCs w:val="24"/>
          <w:shd w:val="clear" w:color="auto" w:fill="FFFFFF"/>
        </w:rPr>
      </w:pPr>
    </w:p>
    <w:p w:rsidR="00E65AC0" w:rsidRPr="00836C79" w:rsidRDefault="00E65AC0" w:rsidP="009F001E">
      <w:p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 xml:space="preserve">Il rischio viene analizzato alla luce dei seguenti criteri, come da punto 2.2.2 del Piano:, e gli  elementi da esaminare tutti con valore da 1 a </w:t>
      </w:r>
      <w:r w:rsidR="006167DF" w:rsidRPr="00836C79">
        <w:rPr>
          <w:rFonts w:eastAsia="Calibri"/>
          <w:sz w:val="24"/>
          <w:szCs w:val="24"/>
          <w:shd w:val="clear" w:color="auto" w:fill="FFFFFF"/>
        </w:rPr>
        <w:t>3</w:t>
      </w:r>
      <w:r w:rsidRPr="00836C79">
        <w:rPr>
          <w:rFonts w:eastAsia="Calibri"/>
          <w:sz w:val="24"/>
          <w:szCs w:val="24"/>
          <w:shd w:val="clear" w:color="auto" w:fill="FFFFFF"/>
        </w:rPr>
        <w:t>, sono costituiti dai seguenti,</w:t>
      </w:r>
    </w:p>
    <w:p w:rsidR="00E65AC0" w:rsidRPr="00836C79" w:rsidRDefault="00E65AC0" w:rsidP="00E65AC0">
      <w:pPr>
        <w:pStyle w:val="Paragrafoelenco"/>
        <w:numPr>
          <w:ilvl w:val="0"/>
          <w:numId w:val="11"/>
        </w:numPr>
        <w:ind w:left="567" w:right="27" w:hanging="425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Discrezionalità</w:t>
      </w:r>
      <w:r w:rsidRPr="00836C79">
        <w:rPr>
          <w:sz w:val="24"/>
          <w:szCs w:val="24"/>
        </w:rPr>
        <w:tab/>
      </w:r>
      <w:r w:rsidRPr="00836C79">
        <w:rPr>
          <w:sz w:val="24"/>
          <w:szCs w:val="24"/>
        </w:rPr>
        <w:tab/>
      </w:r>
      <w:r w:rsidRPr="00836C79">
        <w:rPr>
          <w:sz w:val="24"/>
          <w:szCs w:val="24"/>
        </w:rPr>
        <w:tab/>
      </w:r>
    </w:p>
    <w:p w:rsidR="00E65AC0" w:rsidRPr="00836C79" w:rsidRDefault="00E65AC0" w:rsidP="00E65AC0">
      <w:pPr>
        <w:pStyle w:val="Paragrafoelenco"/>
        <w:numPr>
          <w:ilvl w:val="0"/>
          <w:numId w:val="11"/>
        </w:numPr>
        <w:ind w:left="567" w:right="27" w:hanging="425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Rilevanza esterna</w:t>
      </w:r>
    </w:p>
    <w:p w:rsidR="00E65AC0" w:rsidRPr="00836C79" w:rsidRDefault="00E65AC0" w:rsidP="00E65AC0">
      <w:pPr>
        <w:pStyle w:val="Paragrafoelenco"/>
        <w:numPr>
          <w:ilvl w:val="0"/>
          <w:numId w:val="11"/>
        </w:numPr>
        <w:ind w:left="567" w:right="27" w:hanging="425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Complessità del processo</w:t>
      </w:r>
    </w:p>
    <w:p w:rsidR="00E65AC0" w:rsidRPr="00836C79" w:rsidRDefault="00E65AC0" w:rsidP="00E65AC0">
      <w:pPr>
        <w:pStyle w:val="Paragrafoelenco"/>
        <w:numPr>
          <w:ilvl w:val="0"/>
          <w:numId w:val="11"/>
        </w:numPr>
        <w:ind w:left="567" w:right="27" w:hanging="425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Valore economico</w:t>
      </w:r>
    </w:p>
    <w:p w:rsidR="00E65AC0" w:rsidRPr="00836C79" w:rsidRDefault="00E65AC0" w:rsidP="00E65AC0">
      <w:pPr>
        <w:pStyle w:val="Paragrafoelenco"/>
        <w:numPr>
          <w:ilvl w:val="0"/>
          <w:numId w:val="11"/>
        </w:numPr>
        <w:ind w:left="567" w:right="27" w:hanging="425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Efficacia dei controlli</w:t>
      </w:r>
    </w:p>
    <w:p w:rsidR="00E65AC0" w:rsidRPr="00836C79" w:rsidRDefault="00E65AC0" w:rsidP="00E65AC0">
      <w:pPr>
        <w:pStyle w:val="Corpodeltesto"/>
        <w:spacing w:before="93"/>
        <w:ind w:right="27"/>
        <w:rPr>
          <w:sz w:val="24"/>
          <w:szCs w:val="24"/>
        </w:rPr>
      </w:pPr>
      <w:r w:rsidRPr="00836C79">
        <w:rPr>
          <w:sz w:val="24"/>
          <w:szCs w:val="24"/>
        </w:rPr>
        <w:t xml:space="preserve">Il valore dell'impatto è stato calcolato in relazione alle conseguenze che può produrre e ciò assume il valore di coefficiente di moltiplicazione (con valore  da 1 a </w:t>
      </w:r>
      <w:r w:rsidR="006167DF" w:rsidRPr="00836C79">
        <w:rPr>
          <w:sz w:val="24"/>
          <w:szCs w:val="24"/>
        </w:rPr>
        <w:t>3</w:t>
      </w:r>
      <w:r w:rsidRPr="00836C79">
        <w:rPr>
          <w:sz w:val="24"/>
          <w:szCs w:val="24"/>
        </w:rPr>
        <w:t>) dei suddetti elementi di valutazione del rischio,rappresentati:</w:t>
      </w:r>
    </w:p>
    <w:p w:rsidR="00E65AC0" w:rsidRPr="00836C79" w:rsidRDefault="00E65AC0" w:rsidP="00E65AC0">
      <w:pPr>
        <w:pStyle w:val="Paragrafoelenco"/>
        <w:numPr>
          <w:ilvl w:val="0"/>
          <w:numId w:val="10"/>
        </w:numPr>
        <w:tabs>
          <w:tab w:val="left" w:pos="567"/>
        </w:tabs>
        <w:spacing w:before="93"/>
        <w:ind w:left="0" w:right="27" w:firstLine="0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organizzazione</w:t>
      </w:r>
      <w:r w:rsidRPr="00836C79">
        <w:rPr>
          <w:spacing w:val="-1"/>
          <w:sz w:val="24"/>
          <w:szCs w:val="24"/>
        </w:rPr>
        <w:t xml:space="preserve"> </w:t>
      </w:r>
      <w:r w:rsidRPr="00836C79">
        <w:rPr>
          <w:sz w:val="24"/>
          <w:szCs w:val="24"/>
        </w:rPr>
        <w:t>dell'ente</w:t>
      </w:r>
    </w:p>
    <w:p w:rsidR="00E65AC0" w:rsidRPr="00836C79" w:rsidRDefault="00E65AC0" w:rsidP="00E65AC0">
      <w:pPr>
        <w:pStyle w:val="Paragrafoelenco"/>
        <w:numPr>
          <w:ilvl w:val="0"/>
          <w:numId w:val="10"/>
        </w:numPr>
        <w:tabs>
          <w:tab w:val="left" w:pos="567"/>
        </w:tabs>
        <w:spacing w:before="5"/>
        <w:ind w:left="0" w:right="27" w:firstLine="0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bilancio dell'ente (danno</w:t>
      </w:r>
      <w:r w:rsidRPr="00836C79">
        <w:rPr>
          <w:spacing w:val="2"/>
          <w:sz w:val="24"/>
          <w:szCs w:val="24"/>
        </w:rPr>
        <w:t xml:space="preserve"> </w:t>
      </w:r>
      <w:r w:rsidRPr="00836C79">
        <w:rPr>
          <w:sz w:val="24"/>
          <w:szCs w:val="24"/>
        </w:rPr>
        <w:t>erariale)</w:t>
      </w:r>
    </w:p>
    <w:p w:rsidR="00E65AC0" w:rsidRPr="00836C79" w:rsidRDefault="00E65AC0" w:rsidP="00E65AC0">
      <w:pPr>
        <w:pStyle w:val="Paragrafoelenco"/>
        <w:numPr>
          <w:ilvl w:val="0"/>
          <w:numId w:val="10"/>
        </w:numPr>
        <w:tabs>
          <w:tab w:val="left" w:pos="567"/>
        </w:tabs>
        <w:spacing w:before="4"/>
        <w:ind w:left="0" w:right="27" w:firstLine="0"/>
        <w:contextualSpacing w:val="0"/>
        <w:rPr>
          <w:sz w:val="24"/>
          <w:szCs w:val="24"/>
        </w:rPr>
      </w:pPr>
      <w:r w:rsidRPr="00836C79">
        <w:rPr>
          <w:sz w:val="24"/>
          <w:szCs w:val="24"/>
        </w:rPr>
        <w:t>reputazione</w:t>
      </w:r>
      <w:r w:rsidRPr="00836C79">
        <w:rPr>
          <w:spacing w:val="-1"/>
          <w:sz w:val="24"/>
          <w:szCs w:val="24"/>
        </w:rPr>
        <w:t xml:space="preserve"> </w:t>
      </w:r>
      <w:r w:rsidRPr="00836C79">
        <w:rPr>
          <w:sz w:val="24"/>
          <w:szCs w:val="24"/>
        </w:rPr>
        <w:t>dell'ente</w:t>
      </w:r>
    </w:p>
    <w:p w:rsidR="00E65AC0" w:rsidRPr="00836C79" w:rsidRDefault="00E65AC0" w:rsidP="00E65AC0">
      <w:pPr>
        <w:pStyle w:val="Paragrafoelenco"/>
        <w:tabs>
          <w:tab w:val="left" w:pos="567"/>
        </w:tabs>
        <w:spacing w:before="4"/>
        <w:ind w:left="0" w:right="27"/>
        <w:contextualSpacing w:val="0"/>
        <w:rPr>
          <w:sz w:val="24"/>
          <w:szCs w:val="24"/>
        </w:rPr>
      </w:pPr>
    </w:p>
    <w:p w:rsidR="00E65AC0" w:rsidRPr="00836C79" w:rsidRDefault="00E65AC0" w:rsidP="00836C79">
      <w:pPr>
        <w:suppressAutoHyphens/>
        <w:spacing w:after="60"/>
        <w:jc w:val="both"/>
        <w:rPr>
          <w:rFonts w:eastAsia="Calibri"/>
          <w:sz w:val="24"/>
          <w:szCs w:val="24"/>
          <w:shd w:val="clear" w:color="auto" w:fill="FFFFFF"/>
        </w:rPr>
      </w:pPr>
      <w:r w:rsidRPr="00836C79">
        <w:rPr>
          <w:rFonts w:eastAsia="Calibri"/>
          <w:sz w:val="24"/>
          <w:szCs w:val="24"/>
          <w:shd w:val="clear" w:color="auto" w:fill="FFFFFF"/>
        </w:rPr>
        <w:t>Il valore assoluto è dato dal risultato numerico complessivo che porta al seguente elemento di complessiva qualificazione del rischio</w:t>
      </w:r>
      <w:r w:rsidR="00836C79" w:rsidRPr="00836C79">
        <w:rPr>
          <w:rFonts w:eastAsia="Calibri"/>
          <w:sz w:val="24"/>
          <w:szCs w:val="24"/>
          <w:shd w:val="clear" w:color="auto" w:fill="FFFFFF"/>
        </w:rPr>
        <w:t xml:space="preserve">,  e si determinano i seguenti </w:t>
      </w:r>
      <w:r w:rsidRPr="00836C79">
        <w:rPr>
          <w:rFonts w:eastAsiaTheme="minorHAnsi"/>
          <w:sz w:val="24"/>
          <w:szCs w:val="24"/>
          <w:lang w:eastAsia="en-US" w:bidi="ar-SA"/>
        </w:rPr>
        <w:t xml:space="preserve">livelli di rischio: </w:t>
      </w:r>
    </w:p>
    <w:p w:rsidR="00E65AC0" w:rsidRPr="00836C79" w:rsidRDefault="00E65AC0" w:rsidP="00E65AC0">
      <w:pPr>
        <w:widowControl/>
        <w:numPr>
          <w:ilvl w:val="0"/>
          <w:numId w:val="3"/>
        </w:numPr>
        <w:adjustRightInd w:val="0"/>
        <w:spacing w:after="108" w:line="248" w:lineRule="atLeast"/>
        <w:ind w:left="720" w:right="149" w:hanging="360"/>
        <w:jc w:val="both"/>
        <w:rPr>
          <w:rFonts w:eastAsiaTheme="minorHAnsi"/>
          <w:b/>
          <w:sz w:val="24"/>
          <w:szCs w:val="24"/>
          <w:lang w:eastAsia="en-US" w:bidi="ar-SA"/>
        </w:rPr>
      </w:pP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RISCHIO TRASCURABILE </w:t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  <w:t xml:space="preserve">fino a </w:t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>15</w:t>
      </w:r>
    </w:p>
    <w:p w:rsidR="00E65AC0" w:rsidRPr="00836C79" w:rsidRDefault="00E65AC0" w:rsidP="00E65AC0">
      <w:pPr>
        <w:widowControl/>
        <w:numPr>
          <w:ilvl w:val="0"/>
          <w:numId w:val="3"/>
        </w:numPr>
        <w:adjustRightInd w:val="0"/>
        <w:spacing w:after="108" w:line="248" w:lineRule="atLeast"/>
        <w:ind w:left="720" w:right="149" w:hanging="360"/>
        <w:jc w:val="both"/>
        <w:rPr>
          <w:rFonts w:eastAsiaTheme="minorHAnsi"/>
          <w:b/>
          <w:sz w:val="24"/>
          <w:szCs w:val="24"/>
          <w:lang w:eastAsia="en-US" w:bidi="ar-SA"/>
        </w:rPr>
      </w:pP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RISCHIO MEDIO 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  <w:t xml:space="preserve"> 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da </w:t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>16 A 25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 </w:t>
      </w:r>
    </w:p>
    <w:p w:rsidR="00E65AC0" w:rsidRPr="00836C79" w:rsidRDefault="00E65AC0" w:rsidP="00E65AC0">
      <w:pPr>
        <w:widowControl/>
        <w:numPr>
          <w:ilvl w:val="0"/>
          <w:numId w:val="3"/>
        </w:numPr>
        <w:adjustRightInd w:val="0"/>
        <w:spacing w:after="108" w:line="248" w:lineRule="atLeast"/>
        <w:ind w:left="720" w:right="149" w:hanging="360"/>
        <w:jc w:val="both"/>
        <w:rPr>
          <w:rFonts w:eastAsiaTheme="minorHAnsi"/>
          <w:b/>
          <w:sz w:val="24"/>
          <w:szCs w:val="24"/>
          <w:lang w:eastAsia="en-US" w:bidi="ar-SA"/>
        </w:rPr>
      </w:pP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RISCHIO SIGNIFICATIVO </w:t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  <w:t xml:space="preserve">da </w:t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>25 A 29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 </w:t>
      </w:r>
    </w:p>
    <w:p w:rsidR="00E65AC0" w:rsidRPr="00836C79" w:rsidRDefault="00E65AC0" w:rsidP="00E65AC0">
      <w:pPr>
        <w:widowControl/>
        <w:numPr>
          <w:ilvl w:val="0"/>
          <w:numId w:val="3"/>
        </w:numPr>
        <w:adjustRightInd w:val="0"/>
        <w:spacing w:after="106" w:line="248" w:lineRule="atLeast"/>
        <w:ind w:left="720" w:right="149" w:hanging="360"/>
        <w:jc w:val="both"/>
        <w:rPr>
          <w:rFonts w:eastAsiaTheme="minorHAnsi"/>
          <w:b/>
          <w:sz w:val="24"/>
          <w:szCs w:val="24"/>
          <w:lang w:eastAsia="en-US" w:bidi="ar-SA"/>
        </w:rPr>
      </w:pP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RISCHIO CRITICO 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  <w:t xml:space="preserve"> 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da </w:t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>30 A 39</w:t>
      </w:r>
    </w:p>
    <w:p w:rsidR="00E65AC0" w:rsidRPr="00836C79" w:rsidRDefault="00E65AC0" w:rsidP="00E65AC0">
      <w:pPr>
        <w:widowControl/>
        <w:numPr>
          <w:ilvl w:val="0"/>
          <w:numId w:val="3"/>
        </w:numPr>
        <w:adjustRightInd w:val="0"/>
        <w:spacing w:after="5" w:line="248" w:lineRule="atLeast"/>
        <w:ind w:left="720" w:right="149" w:hanging="360"/>
        <w:jc w:val="both"/>
        <w:rPr>
          <w:rFonts w:eastAsiaTheme="minorHAnsi"/>
          <w:b/>
          <w:sz w:val="24"/>
          <w:szCs w:val="24"/>
          <w:lang w:eastAsia="en-US" w:bidi="ar-SA"/>
        </w:rPr>
      </w:pP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RISCHIO ALTO  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  <w:t xml:space="preserve"> 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ab/>
      </w: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da </w:t>
      </w:r>
      <w:r w:rsidR="00836C79" w:rsidRPr="00836C79">
        <w:rPr>
          <w:rFonts w:eastAsiaTheme="minorHAnsi"/>
          <w:b/>
          <w:sz w:val="24"/>
          <w:szCs w:val="24"/>
          <w:lang w:eastAsia="en-US" w:bidi="ar-SA"/>
        </w:rPr>
        <w:t>40 A 45</w:t>
      </w:r>
      <w:r w:rsidRPr="00836C79">
        <w:rPr>
          <w:rFonts w:eastAsiaTheme="minorHAnsi"/>
          <w:b/>
          <w:sz w:val="24"/>
          <w:szCs w:val="24"/>
          <w:lang w:eastAsia="en-US" w:bidi="ar-SA"/>
        </w:rPr>
        <w:t xml:space="preserve"> </w:t>
      </w:r>
    </w:p>
    <w:p w:rsidR="00E65AC0" w:rsidRPr="00836C79" w:rsidRDefault="00E65AC0" w:rsidP="00E65AC0">
      <w:pPr>
        <w:widowControl/>
        <w:adjustRightInd w:val="0"/>
        <w:spacing w:line="259" w:lineRule="atLeast"/>
        <w:rPr>
          <w:rFonts w:eastAsiaTheme="minorHAnsi"/>
          <w:sz w:val="24"/>
          <w:szCs w:val="24"/>
          <w:lang w:eastAsia="en-US" w:bidi="ar-SA"/>
        </w:rPr>
      </w:pPr>
      <w:r w:rsidRPr="00836C79"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E65AC0" w:rsidRPr="00836C79" w:rsidRDefault="00E65AC0" w:rsidP="00E65AC0">
      <w:pPr>
        <w:widowControl/>
        <w:adjustRightInd w:val="0"/>
        <w:spacing w:after="5" w:line="248" w:lineRule="atLeast"/>
        <w:ind w:left="-5" w:right="149" w:hanging="10"/>
        <w:jc w:val="both"/>
        <w:rPr>
          <w:rFonts w:eastAsiaTheme="minorHAnsi"/>
          <w:sz w:val="24"/>
          <w:szCs w:val="24"/>
          <w:lang w:eastAsia="en-US" w:bidi="ar-SA"/>
        </w:rPr>
      </w:pPr>
      <w:r w:rsidRPr="00836C79">
        <w:rPr>
          <w:rFonts w:eastAsiaTheme="minorHAnsi"/>
          <w:sz w:val="24"/>
          <w:szCs w:val="24"/>
          <w:lang w:eastAsia="en-US" w:bidi="ar-SA"/>
        </w:rPr>
        <w:t xml:space="preserve">Nella tabella che segue si portano i risultati della ponderazione effettuata: </w:t>
      </w:r>
    </w:p>
    <w:p w:rsidR="006167DF" w:rsidRPr="00836C79" w:rsidRDefault="006167DF" w:rsidP="00E65AC0">
      <w:pPr>
        <w:widowControl/>
        <w:adjustRightInd w:val="0"/>
        <w:spacing w:after="5" w:line="248" w:lineRule="atLeast"/>
        <w:ind w:left="-5" w:right="149" w:hanging="10"/>
        <w:jc w:val="both"/>
        <w:rPr>
          <w:rFonts w:eastAsiaTheme="minorHAnsi"/>
          <w:color w:val="000000"/>
          <w:sz w:val="24"/>
          <w:szCs w:val="24"/>
          <w:lang w:eastAsia="en-US" w:bidi="ar-SA"/>
        </w:rPr>
      </w:pPr>
    </w:p>
    <w:p w:rsidR="006167DF" w:rsidRPr="00836C79" w:rsidRDefault="006167DF" w:rsidP="00E65AC0">
      <w:pPr>
        <w:widowControl/>
        <w:adjustRightInd w:val="0"/>
        <w:spacing w:after="5" w:line="248" w:lineRule="atLeast"/>
        <w:ind w:left="-5" w:right="149" w:hanging="10"/>
        <w:jc w:val="both"/>
        <w:rPr>
          <w:rFonts w:eastAsiaTheme="minorHAnsi"/>
          <w:color w:val="000000"/>
          <w:sz w:val="24"/>
          <w:szCs w:val="24"/>
          <w:lang w:eastAsia="en-US" w:bidi="ar-SA"/>
        </w:rPr>
      </w:pPr>
    </w:p>
    <w:p w:rsidR="0014010B" w:rsidRPr="00E65AC0" w:rsidRDefault="0014010B" w:rsidP="0014010B">
      <w:pPr>
        <w:pStyle w:val="Corpodeltesto"/>
        <w:spacing w:before="5"/>
        <w:ind w:right="27"/>
        <w:rPr>
          <w:sz w:val="24"/>
          <w:szCs w:val="24"/>
        </w:rPr>
      </w:pPr>
    </w:p>
    <w:tbl>
      <w:tblPr>
        <w:tblStyle w:val="TableNormal"/>
        <w:tblW w:w="992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9"/>
        <w:gridCol w:w="1701"/>
      </w:tblGrid>
      <w:tr w:rsidR="006167DF" w:rsidRPr="00836C79" w:rsidTr="00836C79">
        <w:trPr>
          <w:trHeight w:val="374"/>
        </w:trPr>
        <w:tc>
          <w:tcPr>
            <w:tcW w:w="1418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AREA</w:t>
            </w:r>
          </w:p>
        </w:tc>
        <w:tc>
          <w:tcPr>
            <w:tcW w:w="618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Discrezionalità</w:t>
            </w:r>
          </w:p>
        </w:tc>
        <w:tc>
          <w:tcPr>
            <w:tcW w:w="619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 xml:space="preserve">Rilevanza </w:t>
            </w:r>
            <w:proofErr w:type="spellStart"/>
            <w:r w:rsidRPr="00836C79">
              <w:rPr>
                <w:b/>
                <w:sz w:val="24"/>
                <w:szCs w:val="24"/>
                <w:lang w:val="it-IT"/>
              </w:rPr>
              <w:t>este</w:t>
            </w:r>
            <w:r w:rsidRPr="00836C79">
              <w:rPr>
                <w:b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18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6C79">
              <w:rPr>
                <w:b/>
                <w:sz w:val="24"/>
                <w:szCs w:val="24"/>
              </w:rPr>
              <w:t>Complessità</w:t>
            </w:r>
            <w:proofErr w:type="spellEnd"/>
            <w:r w:rsidRPr="00836C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6C79">
              <w:rPr>
                <w:b/>
                <w:sz w:val="24"/>
                <w:szCs w:val="24"/>
              </w:rPr>
              <w:t>processo</w:t>
            </w:r>
            <w:proofErr w:type="spellEnd"/>
          </w:p>
        </w:tc>
        <w:tc>
          <w:tcPr>
            <w:tcW w:w="619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6C79">
              <w:rPr>
                <w:b/>
                <w:sz w:val="24"/>
                <w:szCs w:val="24"/>
              </w:rPr>
              <w:t>Valore</w:t>
            </w:r>
            <w:proofErr w:type="spellEnd"/>
            <w:r w:rsidRPr="00836C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6C79">
              <w:rPr>
                <w:b/>
                <w:sz w:val="24"/>
                <w:szCs w:val="24"/>
              </w:rPr>
              <w:t>economico</w:t>
            </w:r>
            <w:proofErr w:type="spellEnd"/>
          </w:p>
        </w:tc>
        <w:tc>
          <w:tcPr>
            <w:tcW w:w="618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6C79">
              <w:rPr>
                <w:b/>
                <w:sz w:val="24"/>
                <w:szCs w:val="24"/>
              </w:rPr>
              <w:t>Efficacia</w:t>
            </w:r>
            <w:proofErr w:type="spellEnd"/>
            <w:r w:rsidRPr="00836C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6C79">
              <w:rPr>
                <w:b/>
                <w:sz w:val="24"/>
                <w:szCs w:val="24"/>
              </w:rPr>
              <w:t>controlli</w:t>
            </w:r>
            <w:proofErr w:type="spellEnd"/>
          </w:p>
        </w:tc>
        <w:tc>
          <w:tcPr>
            <w:tcW w:w="619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6C79">
              <w:rPr>
                <w:b/>
                <w:sz w:val="24"/>
                <w:szCs w:val="24"/>
              </w:rPr>
              <w:t>Organizzazione</w:t>
            </w:r>
            <w:proofErr w:type="spellEnd"/>
          </w:p>
        </w:tc>
        <w:tc>
          <w:tcPr>
            <w:tcW w:w="619" w:type="dxa"/>
            <w:shd w:val="clear" w:color="auto" w:fill="FFD31F"/>
          </w:tcPr>
          <w:p w:rsidR="006167DF" w:rsidRPr="00836C79" w:rsidRDefault="006167DF" w:rsidP="005F2BFA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6C79">
              <w:rPr>
                <w:b/>
                <w:sz w:val="24"/>
                <w:szCs w:val="24"/>
              </w:rPr>
              <w:t>Bilancio</w:t>
            </w:r>
            <w:proofErr w:type="spellEnd"/>
          </w:p>
        </w:tc>
        <w:tc>
          <w:tcPr>
            <w:tcW w:w="618" w:type="dxa"/>
            <w:shd w:val="clear" w:color="auto" w:fill="FFD31F"/>
          </w:tcPr>
          <w:p w:rsidR="006167DF" w:rsidRPr="00836C79" w:rsidRDefault="006167DF" w:rsidP="00D764CD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6C79">
              <w:rPr>
                <w:b/>
                <w:sz w:val="24"/>
                <w:szCs w:val="24"/>
              </w:rPr>
              <w:t>Reputazione</w:t>
            </w:r>
            <w:proofErr w:type="spellEnd"/>
          </w:p>
        </w:tc>
        <w:tc>
          <w:tcPr>
            <w:tcW w:w="619" w:type="dxa"/>
            <w:shd w:val="clear" w:color="auto" w:fill="FFD31F"/>
          </w:tcPr>
          <w:p w:rsidR="006167DF" w:rsidRPr="00836C79" w:rsidRDefault="006167DF" w:rsidP="00D764CD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FD31F"/>
          </w:tcPr>
          <w:p w:rsidR="006167DF" w:rsidRPr="00836C79" w:rsidRDefault="006167DF" w:rsidP="00D764CD">
            <w:pPr>
              <w:pStyle w:val="TableParagraph"/>
              <w:spacing w:before="52"/>
              <w:ind w:right="27"/>
              <w:jc w:val="center"/>
              <w:rPr>
                <w:b/>
                <w:sz w:val="24"/>
                <w:szCs w:val="24"/>
              </w:rPr>
            </w:pPr>
            <w:r w:rsidRPr="00836C79">
              <w:rPr>
                <w:b/>
                <w:sz w:val="24"/>
                <w:szCs w:val="24"/>
              </w:rPr>
              <w:t>VALORE R</w:t>
            </w:r>
          </w:p>
        </w:tc>
        <w:tc>
          <w:tcPr>
            <w:tcW w:w="1701" w:type="dxa"/>
            <w:shd w:val="clear" w:color="auto" w:fill="FFD31F"/>
          </w:tcPr>
          <w:p w:rsidR="006167DF" w:rsidRPr="00836C79" w:rsidRDefault="006167DF" w:rsidP="00D764CD">
            <w:pPr>
              <w:pStyle w:val="TableParagraph"/>
              <w:spacing w:before="52"/>
              <w:ind w:right="27"/>
              <w:jc w:val="center"/>
              <w:rPr>
                <w:sz w:val="24"/>
                <w:szCs w:val="24"/>
              </w:rPr>
            </w:pPr>
            <w:r w:rsidRPr="00836C79">
              <w:rPr>
                <w:sz w:val="24"/>
                <w:szCs w:val="24"/>
              </w:rPr>
              <w:t>LIVELLO</w:t>
            </w:r>
          </w:p>
        </w:tc>
      </w:tr>
      <w:tr w:rsidR="006167DF" w:rsidRPr="00E65AC0" w:rsidTr="00836C79">
        <w:trPr>
          <w:trHeight w:val="369"/>
        </w:trPr>
        <w:tc>
          <w:tcPr>
            <w:tcW w:w="1418" w:type="dxa"/>
          </w:tcPr>
          <w:p w:rsidR="006167DF" w:rsidRPr="00836C79" w:rsidRDefault="006167DF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>Erogazione sovvenzioni, contributi e sussidi</w:t>
            </w:r>
          </w:p>
        </w:tc>
        <w:tc>
          <w:tcPr>
            <w:tcW w:w="618" w:type="dxa"/>
          </w:tcPr>
          <w:p w:rsidR="006167DF" w:rsidRPr="00E65AC0" w:rsidRDefault="006167DF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6167DF" w:rsidRPr="006167DF" w:rsidRDefault="006167DF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6167DF" w:rsidRPr="006167DF" w:rsidRDefault="006167DF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6167DF" w:rsidRPr="006167DF" w:rsidRDefault="006167DF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6167DF" w:rsidRPr="00E65AC0" w:rsidRDefault="006167DF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6167DF" w:rsidRPr="00836C79" w:rsidRDefault="006167DF" w:rsidP="005F2BFA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 w:rsidRPr="00836C79">
              <w:rPr>
                <w:sz w:val="16"/>
                <w:szCs w:val="16"/>
                <w:lang w:val="it-IT"/>
              </w:rPr>
              <w:t>15</w:t>
            </w:r>
          </w:p>
        </w:tc>
        <w:tc>
          <w:tcPr>
            <w:tcW w:w="618" w:type="dxa"/>
          </w:tcPr>
          <w:p w:rsidR="006167DF" w:rsidRPr="00E65AC0" w:rsidRDefault="006167DF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6167DF" w:rsidRPr="00E65AC0" w:rsidRDefault="006167DF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6167DF" w:rsidRPr="006167DF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6167DF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 w:rsidRPr="00836C79">
              <w:rPr>
                <w:sz w:val="16"/>
                <w:szCs w:val="16"/>
                <w:lang w:val="it-IT"/>
              </w:rPr>
              <w:t>15*3</w:t>
            </w:r>
          </w:p>
        </w:tc>
        <w:tc>
          <w:tcPr>
            <w:tcW w:w="619" w:type="dxa"/>
          </w:tcPr>
          <w:p w:rsidR="006167DF" w:rsidRPr="006167DF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45</w:t>
            </w:r>
          </w:p>
        </w:tc>
        <w:tc>
          <w:tcPr>
            <w:tcW w:w="1701" w:type="dxa"/>
          </w:tcPr>
          <w:p w:rsidR="006167DF" w:rsidRPr="00836C79" w:rsidRDefault="00836C79" w:rsidP="00D764CD">
            <w:pPr>
              <w:pStyle w:val="TableParagraph"/>
              <w:spacing w:before="43"/>
              <w:ind w:right="27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ALTO</w:t>
            </w:r>
          </w:p>
        </w:tc>
      </w:tr>
      <w:tr w:rsidR="00836C79" w:rsidRPr="00E65AC0" w:rsidTr="00836C79">
        <w:trPr>
          <w:trHeight w:val="371"/>
        </w:trPr>
        <w:tc>
          <w:tcPr>
            <w:tcW w:w="1418" w:type="dxa"/>
          </w:tcPr>
          <w:p w:rsidR="00836C79" w:rsidRPr="00836C79" w:rsidRDefault="00836C79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 xml:space="preserve">Autorizzazioni/concessioni/permessi/titoli </w:t>
            </w:r>
            <w:proofErr w:type="spellStart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>autorizzatori</w:t>
            </w:r>
            <w:proofErr w:type="spellEnd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 xml:space="preserve"> comunque denominati</w:t>
            </w:r>
          </w:p>
        </w:tc>
        <w:tc>
          <w:tcPr>
            <w:tcW w:w="618" w:type="dxa"/>
          </w:tcPr>
          <w:p w:rsidR="00836C79" w:rsidRPr="00E65AC0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15</w:t>
            </w:r>
          </w:p>
        </w:tc>
        <w:tc>
          <w:tcPr>
            <w:tcW w:w="618" w:type="dxa"/>
          </w:tcPr>
          <w:p w:rsidR="00836C79" w:rsidRPr="006167DF" w:rsidRDefault="00836C79" w:rsidP="00836C79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 w:rsidRPr="00836C79">
              <w:rPr>
                <w:sz w:val="16"/>
                <w:szCs w:val="16"/>
                <w:lang w:val="it-IT"/>
              </w:rPr>
              <w:t>15*3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45</w:t>
            </w:r>
          </w:p>
        </w:tc>
        <w:tc>
          <w:tcPr>
            <w:tcW w:w="1701" w:type="dxa"/>
          </w:tcPr>
          <w:p w:rsidR="00836C79" w:rsidRPr="00836C79" w:rsidRDefault="00836C79">
            <w:pPr>
              <w:rPr>
                <w:b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ALTO</w:t>
            </w:r>
          </w:p>
        </w:tc>
      </w:tr>
      <w:tr w:rsidR="00836C79" w:rsidRPr="00E65AC0" w:rsidTr="00836C79">
        <w:trPr>
          <w:trHeight w:val="369"/>
        </w:trPr>
        <w:tc>
          <w:tcPr>
            <w:tcW w:w="1418" w:type="dxa"/>
          </w:tcPr>
          <w:p w:rsidR="00836C79" w:rsidRPr="00836C79" w:rsidRDefault="00836C79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>Attività di controllo  e sanzionatoria</w:t>
            </w:r>
          </w:p>
        </w:tc>
        <w:tc>
          <w:tcPr>
            <w:tcW w:w="618" w:type="dxa"/>
          </w:tcPr>
          <w:p w:rsidR="00836C79" w:rsidRPr="00E65AC0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15</w:t>
            </w:r>
          </w:p>
        </w:tc>
        <w:tc>
          <w:tcPr>
            <w:tcW w:w="618" w:type="dxa"/>
          </w:tcPr>
          <w:p w:rsidR="00836C79" w:rsidRPr="006167DF" w:rsidRDefault="00836C79" w:rsidP="00836C79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>
            <w:pPr>
              <w:rPr>
                <w:sz w:val="16"/>
                <w:szCs w:val="16"/>
              </w:rPr>
            </w:pPr>
            <w:r w:rsidRPr="00836C79">
              <w:rPr>
                <w:sz w:val="16"/>
                <w:szCs w:val="16"/>
                <w:lang w:val="it-IT"/>
              </w:rPr>
              <w:t>15*3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45</w:t>
            </w:r>
          </w:p>
        </w:tc>
        <w:tc>
          <w:tcPr>
            <w:tcW w:w="1701" w:type="dxa"/>
          </w:tcPr>
          <w:p w:rsidR="00836C79" w:rsidRPr="00836C79" w:rsidRDefault="00836C79">
            <w:pPr>
              <w:rPr>
                <w:b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ALTO</w:t>
            </w:r>
          </w:p>
        </w:tc>
      </w:tr>
      <w:tr w:rsidR="00836C79" w:rsidRPr="00E65AC0" w:rsidTr="00836C79">
        <w:trPr>
          <w:trHeight w:val="369"/>
        </w:trPr>
        <w:tc>
          <w:tcPr>
            <w:tcW w:w="1418" w:type="dxa"/>
          </w:tcPr>
          <w:p w:rsidR="00836C79" w:rsidRPr="00836C79" w:rsidRDefault="00836C79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>Procedure di scelta dei contraenti</w:t>
            </w:r>
          </w:p>
        </w:tc>
        <w:tc>
          <w:tcPr>
            <w:tcW w:w="618" w:type="dxa"/>
          </w:tcPr>
          <w:p w:rsidR="00836C79" w:rsidRPr="00E65AC0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15</w:t>
            </w:r>
          </w:p>
        </w:tc>
        <w:tc>
          <w:tcPr>
            <w:tcW w:w="618" w:type="dxa"/>
          </w:tcPr>
          <w:p w:rsidR="00836C79" w:rsidRPr="006167DF" w:rsidRDefault="00836C79" w:rsidP="00836C79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>
            <w:pPr>
              <w:rPr>
                <w:sz w:val="16"/>
                <w:szCs w:val="16"/>
              </w:rPr>
            </w:pPr>
            <w:r w:rsidRPr="00836C79">
              <w:rPr>
                <w:sz w:val="16"/>
                <w:szCs w:val="16"/>
                <w:lang w:val="it-IT"/>
              </w:rPr>
              <w:t>15*3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45</w:t>
            </w:r>
          </w:p>
        </w:tc>
        <w:tc>
          <w:tcPr>
            <w:tcW w:w="1701" w:type="dxa"/>
          </w:tcPr>
          <w:p w:rsidR="00836C79" w:rsidRPr="00836C79" w:rsidRDefault="00836C79">
            <w:pPr>
              <w:rPr>
                <w:b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ALTO</w:t>
            </w:r>
          </w:p>
        </w:tc>
      </w:tr>
      <w:tr w:rsidR="006167DF" w:rsidRPr="00E65AC0" w:rsidTr="00836C79">
        <w:trPr>
          <w:trHeight w:val="369"/>
        </w:trPr>
        <w:tc>
          <w:tcPr>
            <w:tcW w:w="1418" w:type="dxa"/>
          </w:tcPr>
          <w:p w:rsidR="006167DF" w:rsidRPr="00836C79" w:rsidRDefault="006167DF" w:rsidP="006167DF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spellStart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>Esecuzione</w:t>
            </w:r>
            <w:proofErr w:type="spellEnd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>dei</w:t>
            </w:r>
            <w:proofErr w:type="spellEnd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>contratti</w:t>
            </w:r>
            <w:proofErr w:type="spellEnd"/>
          </w:p>
        </w:tc>
        <w:tc>
          <w:tcPr>
            <w:tcW w:w="618" w:type="dxa"/>
          </w:tcPr>
          <w:p w:rsidR="006167DF" w:rsidRPr="00E65AC0" w:rsidRDefault="00836C79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6167DF" w:rsidRPr="00E65AC0" w:rsidRDefault="00836C79" w:rsidP="005F2BFA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6167DF" w:rsidRPr="00E65AC0" w:rsidRDefault="00836C79" w:rsidP="005F2BFA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:rsidR="006167DF" w:rsidRPr="00E65AC0" w:rsidRDefault="00836C79" w:rsidP="005F2BFA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6167DF" w:rsidRPr="00E65AC0" w:rsidRDefault="00836C79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6167DF" w:rsidRPr="00836C79" w:rsidRDefault="00836C79" w:rsidP="005F2BFA">
            <w:pPr>
              <w:pStyle w:val="TableParagraph"/>
              <w:spacing w:before="43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18" w:type="dxa"/>
          </w:tcPr>
          <w:p w:rsidR="006167DF" w:rsidRPr="00E65AC0" w:rsidRDefault="00836C79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9" w:type="dxa"/>
          </w:tcPr>
          <w:p w:rsidR="006167DF" w:rsidRPr="00E65AC0" w:rsidRDefault="00836C79" w:rsidP="005F2BFA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8" w:type="dxa"/>
          </w:tcPr>
          <w:p w:rsidR="006167DF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6167DF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13*2</w:t>
            </w:r>
          </w:p>
        </w:tc>
        <w:tc>
          <w:tcPr>
            <w:tcW w:w="619" w:type="dxa"/>
          </w:tcPr>
          <w:p w:rsidR="006167DF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167DF" w:rsidRPr="00836C79" w:rsidRDefault="00836C79" w:rsidP="00D764CD">
            <w:pPr>
              <w:pStyle w:val="TableParagraph"/>
              <w:spacing w:before="43"/>
              <w:ind w:right="27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SIGNIFICATIVO</w:t>
            </w:r>
          </w:p>
        </w:tc>
      </w:tr>
      <w:tr w:rsidR="006167DF" w:rsidRPr="00E65AC0" w:rsidTr="00836C79">
        <w:trPr>
          <w:trHeight w:val="371"/>
        </w:trPr>
        <w:tc>
          <w:tcPr>
            <w:tcW w:w="1418" w:type="dxa"/>
          </w:tcPr>
          <w:p w:rsidR="006167DF" w:rsidRPr="00836C79" w:rsidRDefault="006167DF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 xml:space="preserve">Procedure di affidamento di incarichi e collaborazioni </w:t>
            </w:r>
          </w:p>
        </w:tc>
        <w:tc>
          <w:tcPr>
            <w:tcW w:w="618" w:type="dxa"/>
          </w:tcPr>
          <w:p w:rsidR="006167DF" w:rsidRPr="00E65AC0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6167DF" w:rsidRPr="006167DF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6167DF" w:rsidRPr="006167DF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6167DF" w:rsidRPr="006167DF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8" w:type="dxa"/>
          </w:tcPr>
          <w:p w:rsidR="006167DF" w:rsidRPr="00E65AC0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6167DF" w:rsidRPr="00836C79" w:rsidRDefault="00836C79" w:rsidP="005F2BFA">
            <w:pPr>
              <w:pStyle w:val="TableParagraph"/>
              <w:spacing w:before="45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</w:t>
            </w:r>
          </w:p>
        </w:tc>
        <w:tc>
          <w:tcPr>
            <w:tcW w:w="618" w:type="dxa"/>
          </w:tcPr>
          <w:p w:rsidR="006167DF" w:rsidRPr="00E65AC0" w:rsidRDefault="00836C79" w:rsidP="005F2BFA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9" w:type="dxa"/>
          </w:tcPr>
          <w:p w:rsidR="006167DF" w:rsidRPr="00E65AC0" w:rsidRDefault="00836C79" w:rsidP="00836C79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8" w:type="dxa"/>
          </w:tcPr>
          <w:p w:rsidR="006167DF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9" w:type="dxa"/>
          </w:tcPr>
          <w:p w:rsidR="006167DF" w:rsidRPr="00836C79" w:rsidRDefault="00836C79" w:rsidP="00D764CD">
            <w:pPr>
              <w:pStyle w:val="TableParagraph"/>
              <w:spacing w:before="45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8*1.5</w:t>
            </w:r>
          </w:p>
        </w:tc>
        <w:tc>
          <w:tcPr>
            <w:tcW w:w="619" w:type="dxa"/>
          </w:tcPr>
          <w:p w:rsidR="006167DF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12</w:t>
            </w:r>
          </w:p>
        </w:tc>
        <w:tc>
          <w:tcPr>
            <w:tcW w:w="1701" w:type="dxa"/>
          </w:tcPr>
          <w:p w:rsidR="006167DF" w:rsidRPr="00836C79" w:rsidRDefault="00836C79" w:rsidP="00D764CD">
            <w:pPr>
              <w:pStyle w:val="TableParagraph"/>
              <w:spacing w:before="45"/>
              <w:ind w:right="27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BASSO</w:t>
            </w:r>
          </w:p>
        </w:tc>
      </w:tr>
      <w:tr w:rsidR="00836C79" w:rsidRPr="00E65AC0" w:rsidTr="00836C79">
        <w:trPr>
          <w:trHeight w:val="369"/>
        </w:trPr>
        <w:tc>
          <w:tcPr>
            <w:tcW w:w="1418" w:type="dxa"/>
          </w:tcPr>
          <w:p w:rsidR="00836C79" w:rsidRPr="00836C79" w:rsidRDefault="00836C79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>Procedure di selezione e valutazione del personale sia interno che esterno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5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 w:rsidP="00836C79">
            <w:pPr>
              <w:pStyle w:val="TableParagraph"/>
              <w:spacing w:before="45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8*2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16</w:t>
            </w:r>
          </w:p>
        </w:tc>
        <w:tc>
          <w:tcPr>
            <w:tcW w:w="1701" w:type="dxa"/>
          </w:tcPr>
          <w:p w:rsidR="00836C79" w:rsidRPr="00836C79" w:rsidRDefault="00836C79" w:rsidP="00D764CD">
            <w:pPr>
              <w:pStyle w:val="TableParagraph"/>
              <w:spacing w:before="45"/>
              <w:ind w:right="27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MEDIO</w:t>
            </w:r>
          </w:p>
        </w:tc>
      </w:tr>
      <w:tr w:rsidR="00836C79" w:rsidRPr="00E65AC0" w:rsidTr="00836C79">
        <w:trPr>
          <w:trHeight w:val="369"/>
        </w:trPr>
        <w:tc>
          <w:tcPr>
            <w:tcW w:w="1418" w:type="dxa"/>
          </w:tcPr>
          <w:p w:rsidR="00836C79" w:rsidRPr="00836C79" w:rsidRDefault="00836C79" w:rsidP="006167DF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spellStart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>Registrazioni</w:t>
            </w:r>
            <w:proofErr w:type="spellEnd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>rilascio</w:t>
            </w:r>
            <w:proofErr w:type="spellEnd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</w:rPr>
              <w:t>certificazioni</w:t>
            </w:r>
            <w:proofErr w:type="spellEnd"/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 w:rsidP="00836C79">
            <w:pPr>
              <w:pStyle w:val="TableParagraph"/>
              <w:spacing w:before="43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13*3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3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836C79" w:rsidRPr="00836C79" w:rsidRDefault="00836C79" w:rsidP="00D764CD">
            <w:pPr>
              <w:pStyle w:val="TableParagraph"/>
              <w:spacing w:before="45"/>
              <w:ind w:right="27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CRITICO</w:t>
            </w:r>
          </w:p>
        </w:tc>
      </w:tr>
      <w:tr w:rsidR="006167DF" w:rsidRPr="00E65AC0" w:rsidTr="00836C79">
        <w:trPr>
          <w:trHeight w:val="369"/>
        </w:trPr>
        <w:tc>
          <w:tcPr>
            <w:tcW w:w="1418" w:type="dxa"/>
          </w:tcPr>
          <w:p w:rsidR="006167DF" w:rsidRPr="00836C79" w:rsidRDefault="006167DF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>Atti di pianificazione e regolazione</w:t>
            </w:r>
          </w:p>
        </w:tc>
        <w:tc>
          <w:tcPr>
            <w:tcW w:w="618" w:type="dxa"/>
          </w:tcPr>
          <w:p w:rsidR="006167DF" w:rsidRPr="00E65AC0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6167DF" w:rsidRPr="006167DF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6167DF" w:rsidRPr="006167DF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6167DF" w:rsidRPr="006167DF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6167DF" w:rsidRPr="00E65AC0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9" w:type="dxa"/>
          </w:tcPr>
          <w:p w:rsidR="006167DF" w:rsidRPr="00836C79" w:rsidRDefault="006167DF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 w:rsidRPr="00836C79">
              <w:rPr>
                <w:sz w:val="16"/>
                <w:szCs w:val="16"/>
                <w:lang w:val="it-IT"/>
              </w:rPr>
              <w:t>15</w:t>
            </w:r>
          </w:p>
        </w:tc>
        <w:tc>
          <w:tcPr>
            <w:tcW w:w="618" w:type="dxa"/>
          </w:tcPr>
          <w:p w:rsidR="006167DF" w:rsidRPr="00E65AC0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6167DF" w:rsidRPr="00E65AC0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6167DF" w:rsidRPr="006167DF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6167DF" w:rsidRPr="00836C79" w:rsidRDefault="00836C79" w:rsidP="00D764CD">
            <w:pPr>
              <w:pStyle w:val="TableParagraph"/>
              <w:spacing w:before="43"/>
              <w:ind w:right="27"/>
              <w:rPr>
                <w:sz w:val="16"/>
                <w:szCs w:val="16"/>
                <w:lang w:val="it-IT"/>
              </w:rPr>
            </w:pPr>
            <w:r w:rsidRPr="00836C79">
              <w:rPr>
                <w:sz w:val="16"/>
                <w:szCs w:val="16"/>
                <w:lang w:val="it-IT"/>
              </w:rPr>
              <w:t>15*3</w:t>
            </w:r>
          </w:p>
        </w:tc>
        <w:tc>
          <w:tcPr>
            <w:tcW w:w="619" w:type="dxa"/>
          </w:tcPr>
          <w:p w:rsidR="006167DF" w:rsidRPr="006167DF" w:rsidRDefault="006167DF" w:rsidP="00D764CD">
            <w:pPr>
              <w:pStyle w:val="TableParagraph"/>
              <w:spacing w:before="43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45</w:t>
            </w:r>
          </w:p>
        </w:tc>
        <w:tc>
          <w:tcPr>
            <w:tcW w:w="1701" w:type="dxa"/>
          </w:tcPr>
          <w:p w:rsidR="006167DF" w:rsidRPr="00836C79" w:rsidRDefault="00836C79" w:rsidP="00D764CD">
            <w:pPr>
              <w:pStyle w:val="TableParagraph"/>
              <w:spacing w:before="43"/>
              <w:ind w:right="27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ALTO</w:t>
            </w:r>
          </w:p>
        </w:tc>
      </w:tr>
      <w:tr w:rsidR="00836C79" w:rsidRPr="00E65AC0" w:rsidTr="00836C79">
        <w:trPr>
          <w:trHeight w:val="371"/>
        </w:trPr>
        <w:tc>
          <w:tcPr>
            <w:tcW w:w="1418" w:type="dxa"/>
          </w:tcPr>
          <w:p w:rsidR="00836C79" w:rsidRPr="00836C79" w:rsidRDefault="00836C79" w:rsidP="006167DF">
            <w:pPr>
              <w:suppressAutoHyphens/>
              <w:rPr>
                <w:rFonts w:eastAsia="Calibri"/>
                <w:sz w:val="24"/>
                <w:szCs w:val="24"/>
                <w:lang w:val="it-IT"/>
              </w:rPr>
            </w:pPr>
            <w:r w:rsidRPr="00836C79">
              <w:rPr>
                <w:rFonts w:eastAsia="Calibri"/>
                <w:b/>
                <w:color w:val="00000A"/>
                <w:sz w:val="24"/>
                <w:szCs w:val="24"/>
                <w:shd w:val="clear" w:color="auto" w:fill="FFFFFF"/>
                <w:lang w:val="it-IT"/>
              </w:rPr>
              <w:t>Possesso dei requisiti soggettivi da parte dei componenti degli organi di governo e di gestione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5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</w:t>
            </w:r>
          </w:p>
        </w:tc>
        <w:tc>
          <w:tcPr>
            <w:tcW w:w="618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9" w:type="dxa"/>
          </w:tcPr>
          <w:p w:rsidR="00836C79" w:rsidRPr="00E65AC0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0.5</w:t>
            </w:r>
          </w:p>
        </w:tc>
        <w:tc>
          <w:tcPr>
            <w:tcW w:w="618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619" w:type="dxa"/>
          </w:tcPr>
          <w:p w:rsidR="00836C79" w:rsidRPr="00836C79" w:rsidRDefault="00836C79" w:rsidP="00D764CD">
            <w:pPr>
              <w:pStyle w:val="TableParagraph"/>
              <w:spacing w:before="45"/>
              <w:ind w:right="2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9*2</w:t>
            </w:r>
          </w:p>
        </w:tc>
        <w:tc>
          <w:tcPr>
            <w:tcW w:w="619" w:type="dxa"/>
          </w:tcPr>
          <w:p w:rsidR="00836C79" w:rsidRPr="006167DF" w:rsidRDefault="00836C79" w:rsidP="00D764CD">
            <w:pPr>
              <w:pStyle w:val="TableParagraph"/>
              <w:spacing w:before="45"/>
              <w:ind w:right="2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</w:t>
            </w:r>
          </w:p>
        </w:tc>
        <w:tc>
          <w:tcPr>
            <w:tcW w:w="1701" w:type="dxa"/>
          </w:tcPr>
          <w:p w:rsidR="00836C79" w:rsidRPr="00836C79" w:rsidRDefault="00836C79" w:rsidP="00D764CD">
            <w:pPr>
              <w:pStyle w:val="TableParagraph"/>
              <w:spacing w:before="45"/>
              <w:ind w:right="27"/>
              <w:rPr>
                <w:b/>
                <w:sz w:val="24"/>
                <w:szCs w:val="24"/>
                <w:lang w:val="it-IT"/>
              </w:rPr>
            </w:pPr>
            <w:r w:rsidRPr="00836C79">
              <w:rPr>
                <w:b/>
                <w:sz w:val="24"/>
                <w:szCs w:val="24"/>
                <w:lang w:val="it-IT"/>
              </w:rPr>
              <w:t>MEDIO</w:t>
            </w:r>
          </w:p>
        </w:tc>
      </w:tr>
    </w:tbl>
    <w:p w:rsidR="009F001E" w:rsidRDefault="00DA1801" w:rsidP="0014010B">
      <w:pPr>
        <w:pStyle w:val="Corpodeltesto"/>
        <w:spacing w:line="244" w:lineRule="auto"/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 luce di tale ponderazione si determina il seguente quadro operativo, anche a valore sul piano </w:t>
      </w:r>
      <w:proofErr w:type="spellStart"/>
      <w:r>
        <w:rPr>
          <w:sz w:val="24"/>
          <w:szCs w:val="24"/>
        </w:rPr>
        <w:t>formatico</w:t>
      </w:r>
      <w:proofErr w:type="spellEnd"/>
      <w:r>
        <w:rPr>
          <w:sz w:val="24"/>
          <w:szCs w:val="24"/>
        </w:rPr>
        <w:t xml:space="preserve"> di cui alla Misura 4 indicata nell’allegato A:</w:t>
      </w:r>
    </w:p>
    <w:p w:rsidR="00DA1801" w:rsidRDefault="00DA1801" w:rsidP="0014010B">
      <w:pPr>
        <w:pStyle w:val="Corpodeltesto"/>
        <w:spacing w:line="244" w:lineRule="auto"/>
        <w:ind w:right="27"/>
        <w:jc w:val="both"/>
        <w:rPr>
          <w:sz w:val="24"/>
          <w:szCs w:val="24"/>
        </w:rPr>
      </w:pPr>
    </w:p>
    <w:tbl>
      <w:tblPr>
        <w:tblW w:w="0" w:type="auto"/>
        <w:tblInd w:w="296" w:type="dxa"/>
        <w:tblCellMar>
          <w:left w:w="10" w:type="dxa"/>
          <w:right w:w="10" w:type="dxa"/>
        </w:tblCellMar>
        <w:tblLook w:val="04A0"/>
      </w:tblPr>
      <w:tblGrid>
        <w:gridCol w:w="709"/>
        <w:gridCol w:w="4374"/>
        <w:gridCol w:w="1984"/>
        <w:gridCol w:w="1700"/>
      </w:tblGrid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color w:val="00000A"/>
                <w:sz w:val="20"/>
                <w:shd w:val="clear" w:color="auto" w:fill="FFFFFF"/>
                <w:lang w:bidi="ar-SA"/>
              </w:rPr>
              <w:t>N. Area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color w:val="00000A"/>
                <w:sz w:val="20"/>
                <w:shd w:val="clear" w:color="auto" w:fill="FFFFFF"/>
                <w:lang w:bidi="ar-SA"/>
              </w:rPr>
              <w:t>Descrizione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color w:val="00000A"/>
                <w:sz w:val="20"/>
                <w:shd w:val="clear" w:color="auto" w:fill="FFFFFF"/>
                <w:lang w:bidi="ar-SA"/>
              </w:rPr>
              <w:t xml:space="preserve"> Servizio interessato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color w:val="00000A"/>
                <w:sz w:val="20"/>
                <w:shd w:val="clear" w:color="auto" w:fill="FFFFFF"/>
                <w:lang w:bidi="ar-SA"/>
              </w:rPr>
              <w:t>Dipendenti interessati</w:t>
            </w:r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1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Erogazione sovvenzioni, contributi e sussidi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Cultura, sociale, attività produttive, sport, istruzione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Castellani, Zucchini, Giannini,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Granieri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Muffi,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Censini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Bruni, Lucherini,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Civitelli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Caprini,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Lacciarini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Gallorini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Ercolani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Carulli</w:t>
            </w:r>
            <w:proofErr w:type="spellEnd"/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2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Autorizzazioni/concessioni/permessi/titoli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autorizzatori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comunque denominati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Edilizia, </w:t>
            </w:r>
            <w:proofErr w:type="spellStart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suap</w:t>
            </w:r>
            <w:proofErr w:type="spellEnd"/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, polizia municipale, tributi, sport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, finanziario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Bruni,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Riccucci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tutte le posizioni organizzative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Granieri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Censini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Volpi Castellani Muffi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Mencucci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Mancini Fabbri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Angori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Ortolani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Arcangioli</w:t>
            </w:r>
            <w:proofErr w:type="spellEnd"/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3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Attività di controllo  e sanzionatoria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Polizia municipale, tributi, edilizia, istruzione,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Tutto il personale della PM </w:t>
            </w:r>
          </w:p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Tutto il personale dei servizi interessati</w:t>
            </w:r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4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Procedure di scelta dei contraenti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Tutti i servizi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Bruni,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Riccucci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Tutte le posizioni organizzative  </w:t>
            </w: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Storri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Tartacca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Calussi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Mencucci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Donati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Minelli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Muffi Castellani,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Ercolani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Lacciarini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Gallorini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Valdambrini</w:t>
            </w:r>
            <w:proofErr w:type="spellEnd"/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5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Esecuzione dei contratti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Tutti i servizi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Personale del servizio Tecnico e soggetti del punto precedente</w:t>
            </w:r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6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Procedure di affidamento di incarichi e collaborazioni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Tutti i servizi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PERsonale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punto 4</w:t>
            </w:r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7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Procedure di selezione e valutazione del personale sia interno che esterno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Personale, dirigenti, posizioni organizzative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Dirigenti Posizioni Organizzative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Calussi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Ciotti Muffi Bennati</w:t>
            </w:r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8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Registrazioni e rilascio certificazioni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Tutti i servizi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Tutto il personale dei servizi interessati</w:t>
            </w:r>
          </w:p>
        </w:tc>
      </w:tr>
      <w:tr w:rsidR="00DA1801" w:rsidRPr="00DA1801" w:rsidTr="00DA1801">
        <w:trPr>
          <w:trHeight w:val="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9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Atti di pianificazione e regolazione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Urbanistica,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vigilanza</w:t>
            </w: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tributi, finanziaria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PErsonael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del servizio Urbanistica,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suap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, lavori pubblici  e finanziario</w:t>
            </w:r>
          </w:p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1" w:lineRule="atLeast"/>
              <w:rPr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Dirigenti e posizioni organizzative</w:t>
            </w:r>
          </w:p>
        </w:tc>
      </w:tr>
      <w:tr w:rsidR="00DA1801" w:rsidRPr="00DA1801" w:rsidTr="00DA1801">
        <w:trPr>
          <w:trHeight w:val="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70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10</w:t>
            </w: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70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Possesso dei requisiti soggettivi da parte dei componenti degli organi di governo e di gestione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70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Segreteria generale, area finanziaria, dirigenti, posizioni organizzative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hideMark/>
          </w:tcPr>
          <w:p w:rsidR="00DA1801" w:rsidRPr="00DA1801" w:rsidRDefault="00DA1801" w:rsidP="00DA1801">
            <w:pPr>
              <w:widowControl/>
              <w:suppressAutoHyphens/>
              <w:autoSpaceDE/>
              <w:autoSpaceDN/>
              <w:spacing w:before="100" w:beforeAutospacing="1" w:after="100" w:afterAutospacing="1" w:line="70" w:lineRule="atLeast"/>
              <w:rPr>
                <w:sz w:val="24"/>
                <w:szCs w:val="24"/>
                <w:lang w:bidi="ar-SA"/>
              </w:rPr>
            </w:pPr>
            <w:r w:rsidRPr="00DA1801"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 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Dirigenti, posizioni organizzative, Bennati, Muffi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>MEterangelo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  <w:sz w:val="20"/>
                <w:shd w:val="clear" w:color="auto" w:fill="FFFFFF"/>
                <w:lang w:bidi="ar-SA"/>
              </w:rPr>
              <w:t xml:space="preserve"> Calussi</w:t>
            </w:r>
          </w:p>
        </w:tc>
      </w:tr>
    </w:tbl>
    <w:p w:rsidR="00DA1801" w:rsidRDefault="00DA1801" w:rsidP="0014010B">
      <w:pPr>
        <w:pStyle w:val="Corpodeltesto"/>
        <w:spacing w:line="244" w:lineRule="auto"/>
        <w:ind w:right="27"/>
        <w:jc w:val="both"/>
        <w:rPr>
          <w:sz w:val="24"/>
          <w:szCs w:val="24"/>
        </w:rPr>
      </w:pPr>
    </w:p>
    <w:sectPr w:rsidR="00DA1801" w:rsidSect="005F1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CA66A"/>
    <w:lvl w:ilvl="0">
      <w:numFmt w:val="bullet"/>
      <w:lvlText w:val="*"/>
      <w:lvlJc w:val="left"/>
    </w:lvl>
  </w:abstractNum>
  <w:abstractNum w:abstractNumId="1">
    <w:nsid w:val="1EAE2255"/>
    <w:multiLevelType w:val="hybridMultilevel"/>
    <w:tmpl w:val="FED03C16"/>
    <w:lvl w:ilvl="0" w:tplc="0410000F">
      <w:start w:val="1"/>
      <w:numFmt w:val="decimal"/>
      <w:lvlText w:val="%1."/>
      <w:lvlJc w:val="left"/>
      <w:pPr>
        <w:ind w:left="1900" w:hanging="689"/>
      </w:pPr>
      <w:rPr>
        <w:rFonts w:hint="default"/>
        <w:w w:val="101"/>
        <w:sz w:val="23"/>
        <w:szCs w:val="23"/>
        <w:lang w:val="it-IT" w:eastAsia="it-IT" w:bidi="it-IT"/>
      </w:rPr>
    </w:lvl>
    <w:lvl w:ilvl="1" w:tplc="6F1E411A">
      <w:numFmt w:val="bullet"/>
      <w:lvlText w:val="•"/>
      <w:lvlJc w:val="left"/>
      <w:pPr>
        <w:ind w:left="2810" w:hanging="689"/>
      </w:pPr>
      <w:rPr>
        <w:rFonts w:hint="default"/>
        <w:lang w:val="it-IT" w:eastAsia="it-IT" w:bidi="it-IT"/>
      </w:rPr>
    </w:lvl>
    <w:lvl w:ilvl="2" w:tplc="CE96CEE0">
      <w:numFmt w:val="bullet"/>
      <w:lvlText w:val="•"/>
      <w:lvlJc w:val="left"/>
      <w:pPr>
        <w:ind w:left="3720" w:hanging="689"/>
      </w:pPr>
      <w:rPr>
        <w:rFonts w:hint="default"/>
        <w:lang w:val="it-IT" w:eastAsia="it-IT" w:bidi="it-IT"/>
      </w:rPr>
    </w:lvl>
    <w:lvl w:ilvl="3" w:tplc="F9D63008">
      <w:numFmt w:val="bullet"/>
      <w:lvlText w:val="•"/>
      <w:lvlJc w:val="left"/>
      <w:pPr>
        <w:ind w:left="4630" w:hanging="689"/>
      </w:pPr>
      <w:rPr>
        <w:rFonts w:hint="default"/>
        <w:lang w:val="it-IT" w:eastAsia="it-IT" w:bidi="it-IT"/>
      </w:rPr>
    </w:lvl>
    <w:lvl w:ilvl="4" w:tplc="F0662CB6">
      <w:numFmt w:val="bullet"/>
      <w:lvlText w:val="•"/>
      <w:lvlJc w:val="left"/>
      <w:pPr>
        <w:ind w:left="5540" w:hanging="689"/>
      </w:pPr>
      <w:rPr>
        <w:rFonts w:hint="default"/>
        <w:lang w:val="it-IT" w:eastAsia="it-IT" w:bidi="it-IT"/>
      </w:rPr>
    </w:lvl>
    <w:lvl w:ilvl="5" w:tplc="BDE8EC36">
      <w:numFmt w:val="bullet"/>
      <w:lvlText w:val="•"/>
      <w:lvlJc w:val="left"/>
      <w:pPr>
        <w:ind w:left="6450" w:hanging="689"/>
      </w:pPr>
      <w:rPr>
        <w:rFonts w:hint="default"/>
        <w:lang w:val="it-IT" w:eastAsia="it-IT" w:bidi="it-IT"/>
      </w:rPr>
    </w:lvl>
    <w:lvl w:ilvl="6" w:tplc="842C225A">
      <w:numFmt w:val="bullet"/>
      <w:lvlText w:val="•"/>
      <w:lvlJc w:val="left"/>
      <w:pPr>
        <w:ind w:left="7360" w:hanging="689"/>
      </w:pPr>
      <w:rPr>
        <w:rFonts w:hint="default"/>
        <w:lang w:val="it-IT" w:eastAsia="it-IT" w:bidi="it-IT"/>
      </w:rPr>
    </w:lvl>
    <w:lvl w:ilvl="7" w:tplc="2F16D862">
      <w:numFmt w:val="bullet"/>
      <w:lvlText w:val="•"/>
      <w:lvlJc w:val="left"/>
      <w:pPr>
        <w:ind w:left="8270" w:hanging="689"/>
      </w:pPr>
      <w:rPr>
        <w:rFonts w:hint="default"/>
        <w:lang w:val="it-IT" w:eastAsia="it-IT" w:bidi="it-IT"/>
      </w:rPr>
    </w:lvl>
    <w:lvl w:ilvl="8" w:tplc="B09A99F6">
      <w:numFmt w:val="bullet"/>
      <w:lvlText w:val="•"/>
      <w:lvlJc w:val="left"/>
      <w:pPr>
        <w:ind w:left="9180" w:hanging="689"/>
      </w:pPr>
      <w:rPr>
        <w:rFonts w:hint="default"/>
        <w:lang w:val="it-IT" w:eastAsia="it-IT" w:bidi="it-IT"/>
      </w:rPr>
    </w:lvl>
  </w:abstractNum>
  <w:abstractNum w:abstractNumId="2">
    <w:nsid w:val="3CF55485"/>
    <w:multiLevelType w:val="multilevel"/>
    <w:tmpl w:val="67548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085C59"/>
    <w:multiLevelType w:val="multilevel"/>
    <w:tmpl w:val="04D23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76102"/>
    <w:multiLevelType w:val="hybridMultilevel"/>
    <w:tmpl w:val="94F27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A3234"/>
    <w:multiLevelType w:val="hybridMultilevel"/>
    <w:tmpl w:val="41DCE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C6361"/>
    <w:multiLevelType w:val="hybridMultilevel"/>
    <w:tmpl w:val="819E2356"/>
    <w:lvl w:ilvl="0" w:tplc="FCCA7E1A">
      <w:start w:val="1"/>
      <w:numFmt w:val="lowerLetter"/>
      <w:lvlText w:val="%1)"/>
      <w:lvlJc w:val="left"/>
      <w:pPr>
        <w:ind w:left="1912" w:hanging="351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1" w:tplc="253835F0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2" w:tplc="AE625D7C">
      <w:numFmt w:val="bullet"/>
      <w:lvlText w:val="•"/>
      <w:lvlJc w:val="left"/>
      <w:pPr>
        <w:ind w:left="3736" w:hanging="351"/>
      </w:pPr>
      <w:rPr>
        <w:rFonts w:hint="default"/>
        <w:lang w:val="it-IT" w:eastAsia="it-IT" w:bidi="it-IT"/>
      </w:rPr>
    </w:lvl>
    <w:lvl w:ilvl="3" w:tplc="BFAEEFAA">
      <w:numFmt w:val="bullet"/>
      <w:lvlText w:val="•"/>
      <w:lvlJc w:val="left"/>
      <w:pPr>
        <w:ind w:left="4644" w:hanging="351"/>
      </w:pPr>
      <w:rPr>
        <w:rFonts w:hint="default"/>
        <w:lang w:val="it-IT" w:eastAsia="it-IT" w:bidi="it-IT"/>
      </w:rPr>
    </w:lvl>
    <w:lvl w:ilvl="4" w:tplc="D7603C9A">
      <w:numFmt w:val="bullet"/>
      <w:lvlText w:val="•"/>
      <w:lvlJc w:val="left"/>
      <w:pPr>
        <w:ind w:left="5552" w:hanging="351"/>
      </w:pPr>
      <w:rPr>
        <w:rFonts w:hint="default"/>
        <w:lang w:val="it-IT" w:eastAsia="it-IT" w:bidi="it-IT"/>
      </w:rPr>
    </w:lvl>
    <w:lvl w:ilvl="5" w:tplc="4D7610A2">
      <w:numFmt w:val="bullet"/>
      <w:lvlText w:val="•"/>
      <w:lvlJc w:val="left"/>
      <w:pPr>
        <w:ind w:left="6460" w:hanging="351"/>
      </w:pPr>
      <w:rPr>
        <w:rFonts w:hint="default"/>
        <w:lang w:val="it-IT" w:eastAsia="it-IT" w:bidi="it-IT"/>
      </w:rPr>
    </w:lvl>
    <w:lvl w:ilvl="6" w:tplc="98C43CC0">
      <w:numFmt w:val="bullet"/>
      <w:lvlText w:val="•"/>
      <w:lvlJc w:val="left"/>
      <w:pPr>
        <w:ind w:left="7368" w:hanging="351"/>
      </w:pPr>
      <w:rPr>
        <w:rFonts w:hint="default"/>
        <w:lang w:val="it-IT" w:eastAsia="it-IT" w:bidi="it-IT"/>
      </w:rPr>
    </w:lvl>
    <w:lvl w:ilvl="7" w:tplc="0504B6B4">
      <w:numFmt w:val="bullet"/>
      <w:lvlText w:val="•"/>
      <w:lvlJc w:val="left"/>
      <w:pPr>
        <w:ind w:left="8276" w:hanging="351"/>
      </w:pPr>
      <w:rPr>
        <w:rFonts w:hint="default"/>
        <w:lang w:val="it-IT" w:eastAsia="it-IT" w:bidi="it-IT"/>
      </w:rPr>
    </w:lvl>
    <w:lvl w:ilvl="8" w:tplc="8AA691CE">
      <w:numFmt w:val="bullet"/>
      <w:lvlText w:val="•"/>
      <w:lvlJc w:val="left"/>
      <w:pPr>
        <w:ind w:left="9184" w:hanging="351"/>
      </w:pPr>
      <w:rPr>
        <w:rFonts w:hint="default"/>
        <w:lang w:val="it-IT" w:eastAsia="it-IT" w:bidi="it-IT"/>
      </w:rPr>
    </w:lvl>
  </w:abstractNum>
  <w:abstractNum w:abstractNumId="7">
    <w:nsid w:val="5A2879F6"/>
    <w:multiLevelType w:val="hybridMultilevel"/>
    <w:tmpl w:val="46DE0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97083"/>
    <w:multiLevelType w:val="hybridMultilevel"/>
    <w:tmpl w:val="4D3A2DC6"/>
    <w:lvl w:ilvl="0" w:tplc="0410000F">
      <w:start w:val="1"/>
      <w:numFmt w:val="decimal"/>
      <w:lvlText w:val="%1."/>
      <w:lvlJc w:val="left"/>
      <w:pPr>
        <w:ind w:left="979" w:hanging="360"/>
      </w:p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9">
    <w:nsid w:val="65C925F9"/>
    <w:multiLevelType w:val="multilevel"/>
    <w:tmpl w:val="1BF00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F538EF"/>
    <w:multiLevelType w:val="hybridMultilevel"/>
    <w:tmpl w:val="94F27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010B"/>
    <w:rsid w:val="0014010B"/>
    <w:rsid w:val="005F1AC6"/>
    <w:rsid w:val="006167DF"/>
    <w:rsid w:val="00836C79"/>
    <w:rsid w:val="008A44E2"/>
    <w:rsid w:val="009F001E"/>
    <w:rsid w:val="00A54389"/>
    <w:rsid w:val="00C642B5"/>
    <w:rsid w:val="00D246C1"/>
    <w:rsid w:val="00DA1801"/>
    <w:rsid w:val="00E6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40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1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4010B"/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4010B"/>
    <w:rPr>
      <w:rFonts w:ascii="Times New Roman" w:eastAsia="Times New Roman" w:hAnsi="Times New Roman" w:cs="Times New Roman"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4010B"/>
  </w:style>
  <w:style w:type="paragraph" w:styleId="Paragrafoelenco">
    <w:name w:val="List Paragraph"/>
    <w:basedOn w:val="Normale"/>
    <w:uiPriority w:val="34"/>
    <w:qFormat/>
    <w:rsid w:val="009F0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2020-01-30T15:28:00Z</dcterms:created>
  <dcterms:modified xsi:type="dcterms:W3CDTF">2020-01-30T15:28:00Z</dcterms:modified>
</cp:coreProperties>
</file>